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602D4">
      <w:pPr>
        <w:keepNext w:val="0"/>
        <w:keepLines w:val="0"/>
        <w:widowControl/>
        <w:suppressLineNumbers w:val="0"/>
        <w:autoSpaceDE/>
        <w:autoSpaceDN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32"/>
          <w:szCs w:val="32"/>
          <w:lang w:val="en-US" w:eastAsia="zh-CN" w:bidi="ar"/>
        </w:rPr>
        <w:t>质控预约与要求</w:t>
      </w:r>
    </w:p>
    <w:tbl>
      <w:tblPr>
        <w:tblStyle w:val="2"/>
        <w:tblW w:w="14307" w:type="dxa"/>
        <w:tblCellSpacing w:w="0" w:type="dxa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2"/>
        <w:gridCol w:w="2560"/>
        <w:gridCol w:w="4435"/>
        <w:gridCol w:w="2497"/>
        <w:gridCol w:w="3203"/>
      </w:tblGrid>
      <w:tr w14:paraId="4F8E7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61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50EFE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  <w:t>阶段</w:t>
            </w:r>
          </w:p>
        </w:tc>
        <w:tc>
          <w:tcPr>
            <w:tcW w:w="25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3E7EA8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  <w:t>首次质控</w:t>
            </w:r>
          </w:p>
        </w:tc>
        <w:tc>
          <w:tcPr>
            <w:tcW w:w="443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9D1CF7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  <w:t>中期质控</w:t>
            </w:r>
          </w:p>
        </w:tc>
        <w:tc>
          <w:tcPr>
            <w:tcW w:w="249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5546EE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  <w:t>末例质控</w:t>
            </w:r>
          </w:p>
        </w:tc>
        <w:tc>
          <w:tcPr>
            <w:tcW w:w="3203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0A8987E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  <w:t>结题前质控</w:t>
            </w:r>
          </w:p>
        </w:tc>
      </w:tr>
      <w:tr w14:paraId="53726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61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CB017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  <w:t>质控时间</w:t>
            </w:r>
          </w:p>
        </w:tc>
        <w:tc>
          <w:tcPr>
            <w:tcW w:w="25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ECA79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入组第一例受试者后</w:t>
            </w:r>
          </w:p>
        </w:tc>
        <w:tc>
          <w:tcPr>
            <w:tcW w:w="443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7C17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入组例数≥20 例或达到本中心计划例数的一半时、应药监局要求“动态递交数据”前、项目数据库“软锁定”前</w:t>
            </w:r>
          </w:p>
        </w:tc>
        <w:tc>
          <w:tcPr>
            <w:tcW w:w="249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9E416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最后一例受试者完成随访</w:t>
            </w:r>
          </w:p>
        </w:tc>
        <w:tc>
          <w:tcPr>
            <w:tcW w:w="3203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A1CC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结题前检查/数据库“硬锁定”前</w:t>
            </w:r>
          </w:p>
        </w:tc>
      </w:tr>
      <w:tr w14:paraId="4B06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61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4DE6B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  <w:t>参与人员</w:t>
            </w:r>
          </w:p>
        </w:tc>
        <w:tc>
          <w:tcPr>
            <w:tcW w:w="25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1270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CRC、CRA</w:t>
            </w:r>
          </w:p>
        </w:tc>
        <w:tc>
          <w:tcPr>
            <w:tcW w:w="443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66308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CRC、CRA</w:t>
            </w:r>
          </w:p>
        </w:tc>
        <w:tc>
          <w:tcPr>
            <w:tcW w:w="249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DE9B8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CRC、CRA</w:t>
            </w:r>
          </w:p>
        </w:tc>
        <w:tc>
          <w:tcPr>
            <w:tcW w:w="3203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A77CE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CRC、CRA</w:t>
            </w:r>
          </w:p>
        </w:tc>
      </w:tr>
      <w:tr w14:paraId="4DCF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61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3E327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  <w:t>须携带的研究资料</w:t>
            </w:r>
          </w:p>
        </w:tc>
        <w:tc>
          <w:tcPr>
            <w:tcW w:w="25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E91EEB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试验方案</w:t>
            </w:r>
          </w:p>
          <w:p w14:paraId="5DEBA534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研究者文件夹（包括药物管理、生物样本管理等相关文件和记录表单）</w:t>
            </w:r>
          </w:p>
          <w:p w14:paraId="0174918F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药品管理文件夹</w:t>
            </w:r>
          </w:p>
          <w:p w14:paraId="4705300A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生物样本管理文件夹</w:t>
            </w:r>
          </w:p>
          <w:p w14:paraId="07C15E8A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所有试验参与者文件夹（必须携带发生SAE及重大PD的试验参与者文件夹）、试验参与者日记卡、安全事件记录表</w:t>
            </w:r>
          </w:p>
          <w:p w14:paraId="4BA9C979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其他相关文件</w:t>
            </w:r>
          </w:p>
        </w:tc>
        <w:tc>
          <w:tcPr>
            <w:tcW w:w="443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498777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试验方案</w:t>
            </w:r>
          </w:p>
          <w:p w14:paraId="7B9862F5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药品管理文件夹</w:t>
            </w:r>
          </w:p>
          <w:p w14:paraId="302B0245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生物样本管理文件夹</w:t>
            </w:r>
          </w:p>
          <w:p w14:paraId="3A2A0CDD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所有试验试验参与者文件夹（必须携带发生SAE及重大PD的试验参与者文件夹）、试验参与者日记卡、安全事件记录表</w:t>
            </w:r>
          </w:p>
          <w:p w14:paraId="7BB476C9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  <w:p w14:paraId="15392883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其他相关文件</w:t>
            </w:r>
          </w:p>
        </w:tc>
        <w:tc>
          <w:tcPr>
            <w:tcW w:w="249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072C21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试验方案</w:t>
            </w:r>
          </w:p>
          <w:p w14:paraId="5BE56728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研究者文件夹</w:t>
            </w:r>
          </w:p>
          <w:p w14:paraId="7A42E991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药品管理文件夹</w:t>
            </w:r>
          </w:p>
          <w:p w14:paraId="02866185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生物样本管理文件夹</w:t>
            </w:r>
          </w:p>
          <w:p w14:paraId="3034B166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所有试验参与者文件夹（必须携带发生SAE及重大PD的试验试验参与者文件夹）、试验参与者日记卡、安全事件记录表</w:t>
            </w:r>
          </w:p>
        </w:tc>
        <w:tc>
          <w:tcPr>
            <w:tcW w:w="3203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B72F40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试验方案</w:t>
            </w:r>
          </w:p>
          <w:p w14:paraId="46B6EA3C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研究者文件夹</w:t>
            </w:r>
          </w:p>
          <w:p w14:paraId="789F56D7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药品管理文件夹</w:t>
            </w:r>
          </w:p>
          <w:p w14:paraId="2CE9F5EB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生物样本管理文件夹</w:t>
            </w:r>
          </w:p>
          <w:p w14:paraId="7C626934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所有试验参与者文件夹（必须携带发生SAE及重大PD的试验试验参与者文件夹）、试验参与者日记卡、安全事件记录表</w:t>
            </w:r>
          </w:p>
          <w:p w14:paraId="2FB1EDAE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EDC9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61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307C0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pacing w:val="4"/>
                <w:kern w:val="2"/>
                <w:sz w:val="21"/>
                <w:szCs w:val="21"/>
                <w:lang w:val="en-US" w:eastAsia="zh-CN" w:bidi="ar-SA"/>
              </w:rPr>
              <w:t>质控重点</w:t>
            </w:r>
          </w:p>
        </w:tc>
        <w:tc>
          <w:tcPr>
            <w:tcW w:w="25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CC16C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表格等文件的规范性（包括药物、生物样本、试验参与者日记卡、试验参与者文件等）、授权分工表、研究人员的资质及CRC对方案的熟悉度、受试者文件夹</w:t>
            </w:r>
          </w:p>
        </w:tc>
        <w:tc>
          <w:tcPr>
            <w:tcW w:w="443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AE8BE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试验参与者文件夹、药物文件夹、生物样本文件夹</w:t>
            </w:r>
          </w:p>
        </w:tc>
        <w:tc>
          <w:tcPr>
            <w:tcW w:w="249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14A28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试验参与者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文件夹、药物文件夹、生物样本文件夹</w:t>
            </w:r>
          </w:p>
        </w:tc>
        <w:tc>
          <w:tcPr>
            <w:tcW w:w="3203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FE5B">
            <w:pPr>
              <w:widowControl/>
              <w:wordWrap w:val="0"/>
              <w:adjustRightInd/>
              <w:snapToGrid/>
              <w:spacing w:before="0" w:beforeLines="0" w:beforeAutospacing="0" w:after="0" w:afterLines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4"/>
                <w:kern w:val="0"/>
                <w:sz w:val="21"/>
                <w:szCs w:val="21"/>
                <w:lang w:val="en-US" w:eastAsia="zh-CN" w:bidi="ar-SA"/>
              </w:rPr>
              <w:t>项目文件（所有文件）</w:t>
            </w:r>
          </w:p>
        </w:tc>
      </w:tr>
    </w:tbl>
    <w:p w14:paraId="36D5D8CB">
      <w:pPr>
        <w:autoSpaceDE/>
        <w:autoSpaceDN/>
        <w:adjustRightInd w:val="0"/>
        <w:snapToGrid w:val="0"/>
        <w:spacing w:line="360" w:lineRule="auto"/>
        <w:jc w:val="both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bidi="ar-SA"/>
        </w:rPr>
      </w:pPr>
    </w:p>
    <w:p w14:paraId="32C41C9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906F7"/>
    <w:rsid w:val="6A10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484</Words>
  <Characters>508</Characters>
  <Lines>0</Lines>
  <Paragraphs>0</Paragraphs>
  <TotalTime>2</TotalTime>
  <ScaleCrop>false</ScaleCrop>
  <LinksUpToDate>false</LinksUpToDate>
  <CharactersWithSpaces>509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dcterms:modified xsi:type="dcterms:W3CDTF">2026-03-19T08:43:29Z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eyJoZGlkIjoiYTI0ZDk0MWRlNmFmZjIwZGQ3ZjRiZDgxOTcwZjA1YzEiLCJ1c2VySWQiOiIyMzQ3ODQ1ODYifQ==</vt:lpwstr>
  </property>
  <property fmtid="{D5CDD505-2E9C-101B-9397-08002B2CF9AE}" pid="4" name="ICV">
    <vt:lpwstr>A203BEF3F46C436FB794FF83A47B2E6A_12</vt:lpwstr>
  </property>
</Properties>
</file>